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  <w:gridCol w:w="4678"/>
      </w:tblGrid>
      <w:tr w:rsidR="00932264" w:rsidTr="004E3C8C">
        <w:tc>
          <w:tcPr>
            <w:tcW w:w="3544" w:type="dxa"/>
          </w:tcPr>
          <w:p w:rsidR="00932264" w:rsidRPr="00D938D4" w:rsidRDefault="00932264" w:rsidP="008D1E20">
            <w:pPr>
              <w:spacing w:before="100" w:beforeAutospacing="1" w:after="100" w:afterAutospacing="1"/>
              <w:ind w:left="175" w:right="-1440" w:firstLine="142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938D4">
              <w:rPr>
                <w:b/>
                <w:noProof/>
              </w:rPr>
              <w:drawing>
                <wp:inline distT="0" distB="0" distL="0" distR="0" wp14:anchorId="667FD6B6" wp14:editId="515CF9D4">
                  <wp:extent cx="1947553" cy="1300921"/>
                  <wp:effectExtent l="0" t="0" r="0" b="0"/>
                  <wp:docPr id="6" name="Picture 6" descr="Public Purposes Tr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Purposes Tr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67" cy="1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126BD" w:rsidRDefault="008126BD" w:rsidP="00FC0E05">
            <w:pPr>
              <w:spacing w:before="100" w:beforeAutospacing="1" w:after="100" w:afterAutospacing="1"/>
              <w:ind w:right="-14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2264" w:rsidRDefault="008126BD" w:rsidP="00FC0E05">
            <w:pPr>
              <w:spacing w:before="100" w:beforeAutospacing="1" w:after="100" w:afterAutospacing="1"/>
              <w:ind w:right="-14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76E92190" wp14:editId="68B99290">
                  <wp:extent cx="2909454" cy="938151"/>
                  <wp:effectExtent l="0" t="0" r="0" b="0"/>
                  <wp:docPr id="2" name="Picture 2" descr="C:\Users\Owner\Desktop\NTBA logo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NTBA logo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458" cy="93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2264" w:rsidRDefault="008126BD" w:rsidP="008126BD">
            <w:pPr>
              <w:spacing w:before="100" w:beforeAutospacing="1" w:after="100" w:afterAutospacing="1"/>
              <w:ind w:right="-6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323884E4" wp14:editId="3D4EEBDB">
                  <wp:extent cx="1555667" cy="1357499"/>
                  <wp:effectExtent l="0" t="0" r="0" b="0"/>
                  <wp:docPr id="1" name="Picture 1" descr="C:\Users\Owner\Desktop\AAI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AAI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10" cy="135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669" w:rsidRDefault="00932264" w:rsidP="008126BD">
      <w:pPr>
        <w:tabs>
          <w:tab w:val="left" w:pos="567"/>
        </w:tabs>
        <w:spacing w:before="100" w:beforeAutospacing="1" w:after="100" w:afterAutospacing="1"/>
        <w:ind w:left="567" w:right="-1440" w:firstLine="284"/>
        <w:jc w:val="both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938D4">
        <w:rPr>
          <w:rFonts w:asciiTheme="minorHAnsi" w:hAnsiTheme="minorHAnsi" w:cs="Arial"/>
          <w:sz w:val="22"/>
          <w:szCs w:val="22"/>
        </w:rPr>
        <w:tab/>
      </w:r>
      <w:bookmarkStart w:id="1" w:name="OLE_LINK1"/>
      <w:r w:rsidR="008126BD" w:rsidRPr="00CF5B14">
        <w:rPr>
          <w:rFonts w:ascii="Arial" w:hAnsi="Arial" w:cs="Arial"/>
          <w:b/>
          <w:color w:val="262626" w:themeColor="text1" w:themeTint="D9"/>
          <w:sz w:val="44"/>
          <w:szCs w:val="44"/>
        </w:rPr>
        <w:t>2014</w:t>
      </w:r>
      <w:r w:rsidR="008126BD"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 </w:t>
      </w:r>
      <w:r w:rsidR="008126BD" w:rsidRPr="00CF5B14"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NTBA </w:t>
      </w:r>
      <w:r w:rsidR="008126BD">
        <w:rPr>
          <w:rFonts w:ascii="Arial" w:hAnsi="Arial" w:cs="Arial"/>
          <w:b/>
          <w:color w:val="262626" w:themeColor="text1" w:themeTint="D9"/>
          <w:sz w:val="44"/>
          <w:szCs w:val="44"/>
        </w:rPr>
        <w:t>Readers’</w:t>
      </w:r>
      <w:r w:rsidR="008126BD" w:rsidRPr="00CF5B14"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 </w:t>
      </w:r>
      <w:r w:rsidR="008126BD">
        <w:rPr>
          <w:rFonts w:ascii="Arial" w:hAnsi="Arial" w:cs="Arial"/>
          <w:b/>
          <w:color w:val="262626" w:themeColor="text1" w:themeTint="D9"/>
          <w:sz w:val="44"/>
          <w:szCs w:val="44"/>
        </w:rPr>
        <w:t>Course</w:t>
      </w:r>
    </w:p>
    <w:p w:rsidR="00CF5B14" w:rsidRPr="00177C52" w:rsidRDefault="00CF5B14" w:rsidP="008126BD">
      <w:pPr>
        <w:tabs>
          <w:tab w:val="left" w:pos="284"/>
          <w:tab w:val="left" w:pos="10206"/>
        </w:tabs>
        <w:spacing w:before="100" w:beforeAutospacing="1" w:after="100" w:afterAutospacing="1"/>
        <w:ind w:left="284" w:right="260"/>
        <w:jc w:val="both"/>
        <w:rPr>
          <w:rFonts w:ascii="Bookman Old Style" w:hAnsi="Bookman Old Style"/>
          <w:color w:val="262626" w:themeColor="text1" w:themeTint="D9"/>
        </w:rPr>
      </w:pPr>
      <w:r w:rsidRPr="00CF5B14">
        <w:rPr>
          <w:rFonts w:ascii="Bookman Old Style" w:hAnsi="Bookman Old Style"/>
          <w:color w:val="262626" w:themeColor="text1" w:themeTint="D9"/>
        </w:rPr>
        <w:t xml:space="preserve">The NTBA, in conjunction with the Australian Advocacy Institute, </w:t>
      </w:r>
      <w:r w:rsidR="00EB73A9">
        <w:rPr>
          <w:rFonts w:ascii="Bookman Old Style" w:hAnsi="Bookman Old Style"/>
          <w:color w:val="262626" w:themeColor="text1" w:themeTint="D9"/>
        </w:rPr>
        <w:t xml:space="preserve">and </w:t>
      </w:r>
      <w:r w:rsidRPr="00CF5B14">
        <w:rPr>
          <w:rFonts w:ascii="Bookman Old Style" w:hAnsi="Bookman Old Style"/>
          <w:color w:val="262626" w:themeColor="text1" w:themeTint="D9"/>
        </w:rPr>
        <w:t xml:space="preserve">with the generous support </w:t>
      </w:r>
      <w:r w:rsidR="00EB73A9">
        <w:rPr>
          <w:rFonts w:ascii="Bookman Old Style" w:hAnsi="Bookman Old Style"/>
          <w:color w:val="262626" w:themeColor="text1" w:themeTint="D9"/>
        </w:rPr>
        <w:t>of</w:t>
      </w:r>
      <w:r w:rsidRPr="00CF5B14">
        <w:rPr>
          <w:rFonts w:ascii="Bookman Old Style" w:hAnsi="Bookman Old Style"/>
          <w:color w:val="262626" w:themeColor="text1" w:themeTint="D9"/>
        </w:rPr>
        <w:t xml:space="preserve"> the NT L</w:t>
      </w:r>
      <w:r w:rsidR="00EB73A9">
        <w:rPr>
          <w:rFonts w:ascii="Bookman Old Style" w:hAnsi="Bookman Old Style"/>
          <w:color w:val="262626" w:themeColor="text1" w:themeTint="D9"/>
        </w:rPr>
        <w:t>aw Society Public Purpose</w:t>
      </w:r>
      <w:r w:rsidR="009B7138">
        <w:rPr>
          <w:rFonts w:ascii="Bookman Old Style" w:hAnsi="Bookman Old Style"/>
          <w:color w:val="262626" w:themeColor="text1" w:themeTint="D9"/>
        </w:rPr>
        <w:t>s</w:t>
      </w:r>
      <w:r w:rsidR="00EB73A9">
        <w:rPr>
          <w:rFonts w:ascii="Bookman Old Style" w:hAnsi="Bookman Old Style"/>
          <w:color w:val="262626" w:themeColor="text1" w:themeTint="D9"/>
        </w:rPr>
        <w:t xml:space="preserve"> Trust, </w:t>
      </w:r>
      <w:r w:rsidRPr="00CF5B14">
        <w:rPr>
          <w:rFonts w:ascii="Bookman Old Style" w:hAnsi="Bookman Old Style"/>
          <w:color w:val="262626" w:themeColor="text1" w:themeTint="D9"/>
        </w:rPr>
        <w:t xml:space="preserve">are </w:t>
      </w:r>
      <w:r w:rsidR="00EB73A9">
        <w:rPr>
          <w:rFonts w:ascii="Bookman Old Style" w:hAnsi="Bookman Old Style"/>
          <w:color w:val="262626" w:themeColor="text1" w:themeTint="D9"/>
        </w:rPr>
        <w:t xml:space="preserve">presenting </w:t>
      </w:r>
      <w:r w:rsidRPr="00CF5B14">
        <w:rPr>
          <w:rFonts w:ascii="Bookman Old Style" w:hAnsi="Bookman Old Style"/>
          <w:color w:val="262626" w:themeColor="text1" w:themeTint="D9"/>
        </w:rPr>
        <w:t>the inaugural NTBA Readers</w:t>
      </w:r>
      <w:r w:rsidR="009B7138">
        <w:rPr>
          <w:rFonts w:ascii="Bookman Old Style" w:hAnsi="Bookman Old Style"/>
          <w:color w:val="262626" w:themeColor="text1" w:themeTint="D9"/>
        </w:rPr>
        <w:t>’</w:t>
      </w:r>
      <w:r w:rsidR="00D938D4">
        <w:rPr>
          <w:rFonts w:ascii="Bookman Old Style" w:hAnsi="Bookman Old Style"/>
          <w:color w:val="262626" w:themeColor="text1" w:themeTint="D9"/>
        </w:rPr>
        <w:t xml:space="preserve"> Course.</w:t>
      </w:r>
      <w:r w:rsidR="009E5E0E">
        <w:rPr>
          <w:rFonts w:ascii="Bookman Old Style" w:hAnsi="Bookman Old Style"/>
          <w:color w:val="262626" w:themeColor="text1" w:themeTint="D9"/>
        </w:rPr>
        <w:t xml:space="preserve"> </w:t>
      </w:r>
      <w:r>
        <w:rPr>
          <w:rFonts w:ascii="Bookman Old Style" w:hAnsi="Bookman Old Style"/>
          <w:color w:val="262626" w:themeColor="text1" w:themeTint="D9"/>
        </w:rPr>
        <w:t xml:space="preserve">The </w:t>
      </w:r>
      <w:r w:rsidR="00EB73A9">
        <w:rPr>
          <w:rFonts w:ascii="Bookman Old Style" w:hAnsi="Bookman Old Style"/>
          <w:color w:val="262626" w:themeColor="text1" w:themeTint="D9"/>
        </w:rPr>
        <w:t>c</w:t>
      </w:r>
      <w:r>
        <w:rPr>
          <w:rFonts w:ascii="Bookman Old Style" w:hAnsi="Bookman Old Style"/>
          <w:color w:val="262626" w:themeColor="text1" w:themeTint="D9"/>
        </w:rPr>
        <w:t xml:space="preserve">ourse will commence </w:t>
      </w:r>
      <w:r w:rsidR="00932264">
        <w:rPr>
          <w:rFonts w:ascii="Bookman Old Style" w:hAnsi="Bookman Old Style"/>
          <w:color w:val="262626" w:themeColor="text1" w:themeTint="D9"/>
        </w:rPr>
        <w:t xml:space="preserve">with an introductory session </w:t>
      </w:r>
      <w:r>
        <w:rPr>
          <w:rFonts w:ascii="Bookman Old Style" w:hAnsi="Bookman Old Style"/>
          <w:color w:val="262626" w:themeColor="text1" w:themeTint="D9"/>
        </w:rPr>
        <w:t xml:space="preserve">on the evening of </w:t>
      </w:r>
      <w:r w:rsidRPr="00CF5B14">
        <w:rPr>
          <w:rFonts w:ascii="Bookman Old Style" w:hAnsi="Bookman Old Style"/>
          <w:b/>
          <w:color w:val="262626" w:themeColor="text1" w:themeTint="D9"/>
        </w:rPr>
        <w:t>Friday 18 July</w:t>
      </w:r>
      <w:r>
        <w:rPr>
          <w:rFonts w:ascii="Bookman Old Style" w:hAnsi="Bookman Old Style"/>
          <w:color w:val="262626" w:themeColor="text1" w:themeTint="D9"/>
        </w:rPr>
        <w:t xml:space="preserve"> and the</w:t>
      </w:r>
      <w:r w:rsidR="001F196F">
        <w:rPr>
          <w:rFonts w:ascii="Bookman Old Style" w:hAnsi="Bookman Old Style"/>
          <w:color w:val="262626" w:themeColor="text1" w:themeTint="D9"/>
        </w:rPr>
        <w:t>n</w:t>
      </w:r>
      <w:r>
        <w:rPr>
          <w:rFonts w:ascii="Bookman Old Style" w:hAnsi="Bookman Old Style"/>
          <w:color w:val="262626" w:themeColor="text1" w:themeTint="D9"/>
        </w:rPr>
        <w:t xml:space="preserve"> run from </w:t>
      </w:r>
      <w:r w:rsidRPr="00CF5B14">
        <w:rPr>
          <w:rFonts w:ascii="Bookman Old Style" w:hAnsi="Bookman Old Style"/>
          <w:b/>
          <w:color w:val="262626" w:themeColor="text1" w:themeTint="D9"/>
        </w:rPr>
        <w:t xml:space="preserve">Monday 21 July to </w:t>
      </w:r>
      <w:r w:rsidR="00EB73A9">
        <w:rPr>
          <w:rFonts w:ascii="Bookman Old Style" w:hAnsi="Bookman Old Style"/>
          <w:b/>
          <w:color w:val="262626" w:themeColor="text1" w:themeTint="D9"/>
        </w:rPr>
        <w:t>Saturday 26</w:t>
      </w:r>
      <w:r w:rsidRPr="00CF5B14">
        <w:rPr>
          <w:rFonts w:ascii="Bookman Old Style" w:hAnsi="Bookman Old Style"/>
          <w:b/>
          <w:color w:val="262626" w:themeColor="text1" w:themeTint="D9"/>
        </w:rPr>
        <w:t xml:space="preserve"> July 2014</w:t>
      </w:r>
      <w:r>
        <w:rPr>
          <w:rFonts w:ascii="Bookman Old Style" w:hAnsi="Bookman Old Style"/>
          <w:b/>
          <w:color w:val="262626" w:themeColor="text1" w:themeTint="D9"/>
        </w:rPr>
        <w:t>.</w:t>
      </w:r>
      <w:r w:rsidR="00D938D4">
        <w:rPr>
          <w:rFonts w:ascii="Bookman Old Style" w:hAnsi="Bookman Old Style"/>
          <w:b/>
          <w:color w:val="262626" w:themeColor="text1" w:themeTint="D9"/>
        </w:rPr>
        <w:t xml:space="preserve">  </w:t>
      </w:r>
      <w:r w:rsidR="00EB73A9">
        <w:rPr>
          <w:rFonts w:ascii="Bookman Old Style" w:hAnsi="Bookman Old Style"/>
          <w:color w:val="262626" w:themeColor="text1" w:themeTint="D9"/>
        </w:rPr>
        <w:t>Some a</w:t>
      </w:r>
      <w:r w:rsidR="00177C52">
        <w:rPr>
          <w:rFonts w:ascii="Bookman Old Style" w:hAnsi="Bookman Old Style"/>
          <w:color w:val="262626" w:themeColor="text1" w:themeTint="D9"/>
        </w:rPr>
        <w:t xml:space="preserve">dditional </w:t>
      </w:r>
      <w:r w:rsidR="00EB73A9">
        <w:rPr>
          <w:rFonts w:ascii="Bookman Old Style" w:hAnsi="Bookman Old Style"/>
          <w:color w:val="262626" w:themeColor="text1" w:themeTint="D9"/>
        </w:rPr>
        <w:t xml:space="preserve">follow up </w:t>
      </w:r>
      <w:r w:rsidR="00177C52">
        <w:rPr>
          <w:rFonts w:ascii="Bookman Old Style" w:hAnsi="Bookman Old Style"/>
          <w:color w:val="262626" w:themeColor="text1" w:themeTint="D9"/>
        </w:rPr>
        <w:t xml:space="preserve">course work will also be required. </w:t>
      </w:r>
    </w:p>
    <w:p w:rsidR="00CF5B14" w:rsidRPr="00D938D4" w:rsidRDefault="00CF5B14" w:rsidP="008126BD">
      <w:pPr>
        <w:pStyle w:val="NoSpacing"/>
        <w:tabs>
          <w:tab w:val="left" w:pos="284"/>
          <w:tab w:val="left" w:pos="9781"/>
        </w:tabs>
        <w:spacing w:line="276" w:lineRule="auto"/>
        <w:ind w:left="284" w:right="685"/>
        <w:rPr>
          <w:rFonts w:ascii="Bookman Old Style" w:hAnsi="Bookman Old Style"/>
        </w:rPr>
      </w:pPr>
      <w:r w:rsidRPr="00D938D4">
        <w:rPr>
          <w:rFonts w:ascii="Bookman Old Style" w:hAnsi="Bookman Old Style"/>
        </w:rPr>
        <w:t>This i</w:t>
      </w:r>
      <w:r w:rsidR="007C58E4" w:rsidRPr="00D938D4">
        <w:rPr>
          <w:rFonts w:ascii="Bookman Old Style" w:hAnsi="Bookman Old Style"/>
        </w:rPr>
        <w:t xml:space="preserve">ntensive course </w:t>
      </w:r>
      <w:r w:rsidRPr="00D938D4">
        <w:rPr>
          <w:rFonts w:ascii="Bookman Old Style" w:hAnsi="Bookman Old Style"/>
        </w:rPr>
        <w:t>is open to:</w:t>
      </w:r>
    </w:p>
    <w:p w:rsidR="00CF5B14" w:rsidRPr="00D938D4" w:rsidRDefault="008126BD" w:rsidP="008126BD">
      <w:pPr>
        <w:pStyle w:val="NoSpacing"/>
        <w:tabs>
          <w:tab w:val="left" w:pos="284"/>
          <w:tab w:val="left" w:pos="9781"/>
        </w:tabs>
        <w:spacing w:line="276" w:lineRule="auto"/>
        <w:ind w:left="284" w:right="685"/>
        <w:rPr>
          <w:rFonts w:ascii="Bookman Old Style" w:eastAsia="Arial" w:hAnsi="Bookman Old Style"/>
          <w:color w:val="000000"/>
        </w:rPr>
      </w:pPr>
      <w:r>
        <w:rPr>
          <w:rFonts w:ascii="Bookman Old Style" w:eastAsia="Arial" w:hAnsi="Bookman Old Style"/>
          <w:color w:val="000000"/>
        </w:rPr>
        <w:t xml:space="preserve">• </w:t>
      </w:r>
      <w:r w:rsidR="00CF5B14" w:rsidRPr="00D938D4">
        <w:rPr>
          <w:rFonts w:ascii="Bookman Old Style" w:eastAsia="Arial" w:hAnsi="Bookman Old Style"/>
          <w:color w:val="000000"/>
        </w:rPr>
        <w:t xml:space="preserve">Northern Territory barristers </w:t>
      </w:r>
      <w:r w:rsidR="009B7138" w:rsidRPr="00D938D4">
        <w:rPr>
          <w:rFonts w:ascii="Bookman Old Style" w:eastAsia="Arial" w:hAnsi="Bookman Old Style"/>
          <w:color w:val="000000"/>
        </w:rPr>
        <w:t>and those applying to the NT Bar</w:t>
      </w:r>
    </w:p>
    <w:p w:rsidR="00CF5B14" w:rsidRPr="00D938D4" w:rsidRDefault="008126BD" w:rsidP="008126BD">
      <w:pPr>
        <w:pStyle w:val="NoSpacing"/>
        <w:tabs>
          <w:tab w:val="left" w:pos="284"/>
          <w:tab w:val="left" w:pos="9781"/>
        </w:tabs>
        <w:spacing w:line="276" w:lineRule="auto"/>
        <w:ind w:left="284" w:right="685"/>
        <w:rPr>
          <w:rFonts w:ascii="Bookman Old Style" w:eastAsia="Arial" w:hAnsi="Bookman Old Style"/>
          <w:color w:val="000000"/>
        </w:rPr>
      </w:pPr>
      <w:r>
        <w:rPr>
          <w:rFonts w:ascii="Bookman Old Style" w:eastAsia="Arial" w:hAnsi="Bookman Old Style"/>
          <w:color w:val="000000"/>
        </w:rPr>
        <w:t xml:space="preserve">• </w:t>
      </w:r>
      <w:r w:rsidR="00CF5B14" w:rsidRPr="00D938D4">
        <w:rPr>
          <w:rFonts w:ascii="Bookman Old Style" w:eastAsia="Arial" w:hAnsi="Bookman Old Style"/>
          <w:color w:val="000000"/>
        </w:rPr>
        <w:t>Practitioners employed by the NT DPP</w:t>
      </w:r>
      <w:r w:rsidR="00932264" w:rsidRPr="00D938D4">
        <w:rPr>
          <w:rFonts w:ascii="Bookman Old Style" w:eastAsia="Arial" w:hAnsi="Bookman Old Style"/>
          <w:color w:val="000000"/>
        </w:rPr>
        <w:t xml:space="preserve"> and NT Legal Aid organisations</w:t>
      </w:r>
    </w:p>
    <w:p w:rsidR="00CF5B14" w:rsidRPr="00D938D4" w:rsidRDefault="008126BD" w:rsidP="008126BD">
      <w:pPr>
        <w:pStyle w:val="NoSpacing"/>
        <w:tabs>
          <w:tab w:val="left" w:pos="284"/>
          <w:tab w:val="left" w:pos="9781"/>
        </w:tabs>
        <w:spacing w:line="276" w:lineRule="auto"/>
        <w:ind w:left="284" w:right="685"/>
        <w:rPr>
          <w:rFonts w:ascii="Bookman Old Style" w:eastAsia="Arial" w:hAnsi="Bookman Old Style"/>
          <w:color w:val="000000"/>
        </w:rPr>
      </w:pPr>
      <w:r>
        <w:rPr>
          <w:rFonts w:ascii="Bookman Old Style" w:eastAsia="Arial" w:hAnsi="Bookman Old Style"/>
          <w:color w:val="000000"/>
        </w:rPr>
        <w:t xml:space="preserve">• </w:t>
      </w:r>
      <w:r w:rsidR="00CF5B14" w:rsidRPr="00D938D4">
        <w:rPr>
          <w:rFonts w:ascii="Bookman Old Style" w:eastAsia="Arial" w:hAnsi="Bookman Old Style"/>
          <w:color w:val="000000"/>
        </w:rPr>
        <w:t xml:space="preserve">Resident Northern </w:t>
      </w:r>
      <w:r w:rsidR="00932264" w:rsidRPr="00D938D4">
        <w:rPr>
          <w:rFonts w:ascii="Bookman Old Style" w:eastAsia="Arial" w:hAnsi="Bookman Old Style"/>
          <w:color w:val="000000"/>
        </w:rPr>
        <w:t>Territory Solicitor Advocates</w:t>
      </w:r>
    </w:p>
    <w:p w:rsidR="007C58E4" w:rsidRPr="00D938D4" w:rsidRDefault="008126BD" w:rsidP="008126BD">
      <w:pPr>
        <w:pStyle w:val="NoSpacing"/>
        <w:tabs>
          <w:tab w:val="left" w:pos="284"/>
          <w:tab w:val="left" w:pos="9781"/>
        </w:tabs>
        <w:spacing w:line="276" w:lineRule="auto"/>
        <w:ind w:left="284" w:right="685"/>
        <w:rPr>
          <w:rFonts w:ascii="Bookman Old Style" w:eastAsia="Arial" w:hAnsi="Bookman Old Style"/>
          <w:color w:val="000000"/>
        </w:rPr>
      </w:pPr>
      <w:r>
        <w:rPr>
          <w:rFonts w:ascii="Bookman Old Style" w:eastAsia="Arial" w:hAnsi="Bookman Old Style"/>
          <w:color w:val="000000"/>
        </w:rPr>
        <w:t xml:space="preserve">• </w:t>
      </w:r>
      <w:r w:rsidR="00CF5B14" w:rsidRPr="00D938D4">
        <w:rPr>
          <w:rFonts w:ascii="Bookman Old Style" w:eastAsia="Arial" w:hAnsi="Bookman Old Style"/>
          <w:color w:val="000000"/>
        </w:rPr>
        <w:t>Advocates f</w:t>
      </w:r>
      <w:r w:rsidR="00932264" w:rsidRPr="00D938D4">
        <w:rPr>
          <w:rFonts w:ascii="Bookman Old Style" w:eastAsia="Arial" w:hAnsi="Bookman Old Style"/>
          <w:color w:val="000000"/>
        </w:rPr>
        <w:t>rom international jurisdictions</w:t>
      </w:r>
      <w:r w:rsidR="00423007">
        <w:rPr>
          <w:rFonts w:ascii="Bookman Old Style" w:eastAsia="Arial" w:hAnsi="Bookman Old Style"/>
          <w:color w:val="000000"/>
        </w:rPr>
        <w:t>.</w:t>
      </w:r>
    </w:p>
    <w:p w:rsidR="001F196F" w:rsidRPr="00177C52" w:rsidRDefault="00772669" w:rsidP="008126BD">
      <w:pPr>
        <w:tabs>
          <w:tab w:val="left" w:pos="284"/>
          <w:tab w:val="left" w:pos="10065"/>
        </w:tabs>
        <w:spacing w:before="100" w:beforeAutospacing="1" w:after="100" w:afterAutospacing="1"/>
        <w:ind w:left="284" w:right="401"/>
        <w:jc w:val="both"/>
        <w:rPr>
          <w:rFonts w:ascii="Bookman Old Style" w:hAnsi="Bookman Old Style"/>
          <w:color w:val="262626" w:themeColor="text1" w:themeTint="D9"/>
        </w:rPr>
      </w:pPr>
      <w:r w:rsidRPr="00177C52">
        <w:rPr>
          <w:rFonts w:ascii="Bookman Old Style" w:hAnsi="Bookman Old Style" w:cs="Arial"/>
          <w:color w:val="262626" w:themeColor="text1" w:themeTint="D9"/>
        </w:rPr>
        <w:t>Th</w:t>
      </w:r>
      <w:r w:rsidR="001F196F">
        <w:rPr>
          <w:rFonts w:ascii="Bookman Old Style" w:hAnsi="Bookman Old Style" w:cs="Arial"/>
          <w:color w:val="262626" w:themeColor="text1" w:themeTint="D9"/>
        </w:rPr>
        <w:t xml:space="preserve">is </w:t>
      </w:r>
      <w:r w:rsidRPr="00177C52">
        <w:rPr>
          <w:rFonts w:ascii="Bookman Old Style" w:hAnsi="Bookman Old Style" w:cs="Arial"/>
          <w:color w:val="262626" w:themeColor="text1" w:themeTint="D9"/>
        </w:rPr>
        <w:t xml:space="preserve">course </w:t>
      </w:r>
      <w:r w:rsidR="001F196F">
        <w:rPr>
          <w:rFonts w:ascii="Bookman Old Style" w:hAnsi="Bookman Old Style" w:cs="Arial"/>
          <w:color w:val="262626" w:themeColor="text1" w:themeTint="D9"/>
        </w:rPr>
        <w:t xml:space="preserve">has been </w:t>
      </w:r>
      <w:r w:rsidRPr="00177C52">
        <w:rPr>
          <w:rFonts w:ascii="Bookman Old Style" w:hAnsi="Bookman Old Style" w:cs="Arial"/>
          <w:color w:val="262626" w:themeColor="text1" w:themeTint="D9"/>
        </w:rPr>
        <w:t xml:space="preserve">designed by senior members of the AAI faculty in compliance with world best practice </w:t>
      </w:r>
      <w:r w:rsidR="00D938D4">
        <w:rPr>
          <w:rFonts w:ascii="Bookman Old Style" w:hAnsi="Bookman Old Style" w:cs="Arial"/>
          <w:color w:val="262626" w:themeColor="text1" w:themeTint="D9"/>
        </w:rPr>
        <w:t xml:space="preserve">and is </w:t>
      </w:r>
      <w:r w:rsidRPr="00177C52">
        <w:rPr>
          <w:rFonts w:ascii="Bookman Old Style" w:hAnsi="Bookman Old Style" w:cs="Arial"/>
          <w:color w:val="262626" w:themeColor="text1" w:themeTint="D9"/>
        </w:rPr>
        <w:t xml:space="preserve">based on experience over many years in teaching at </w:t>
      </w:r>
      <w:r w:rsidR="00D938D4">
        <w:rPr>
          <w:rFonts w:ascii="Bookman Old Style" w:hAnsi="Bookman Old Style" w:cs="Arial"/>
          <w:color w:val="262626" w:themeColor="text1" w:themeTint="D9"/>
        </w:rPr>
        <w:t>similar c</w:t>
      </w:r>
      <w:r w:rsidRPr="00177C52">
        <w:rPr>
          <w:rFonts w:ascii="Bookman Old Style" w:hAnsi="Bookman Old Style" w:cs="Arial"/>
          <w:color w:val="262626" w:themeColor="text1" w:themeTint="D9"/>
        </w:rPr>
        <w:t xml:space="preserve">ourses </w:t>
      </w:r>
      <w:r w:rsidR="00D938D4">
        <w:rPr>
          <w:rFonts w:ascii="Bookman Old Style" w:hAnsi="Bookman Old Style" w:cs="Arial"/>
          <w:color w:val="262626" w:themeColor="text1" w:themeTint="D9"/>
        </w:rPr>
        <w:t>both in</w:t>
      </w:r>
      <w:r w:rsidRPr="00177C52">
        <w:rPr>
          <w:rFonts w:ascii="Bookman Old Style" w:hAnsi="Bookman Old Style" w:cs="Arial"/>
          <w:color w:val="262626" w:themeColor="text1" w:themeTint="D9"/>
        </w:rPr>
        <w:t xml:space="preserve"> Australia and </w:t>
      </w:r>
      <w:r w:rsidR="00D938D4">
        <w:rPr>
          <w:rFonts w:ascii="Bookman Old Style" w:hAnsi="Bookman Old Style" w:cs="Arial"/>
          <w:color w:val="262626" w:themeColor="text1" w:themeTint="D9"/>
        </w:rPr>
        <w:t>overseas</w:t>
      </w:r>
      <w:r w:rsidRPr="00177C52">
        <w:rPr>
          <w:rFonts w:ascii="Bookman Old Style" w:hAnsi="Bookman Old Style" w:cs="Arial"/>
          <w:color w:val="262626" w:themeColor="text1" w:themeTint="D9"/>
        </w:rPr>
        <w:t>.</w:t>
      </w:r>
      <w:r w:rsidR="00D938D4">
        <w:rPr>
          <w:rFonts w:ascii="Bookman Old Style" w:hAnsi="Bookman Old Style" w:cs="Arial"/>
          <w:color w:val="262626" w:themeColor="text1" w:themeTint="D9"/>
        </w:rPr>
        <w:t xml:space="preserve"> </w:t>
      </w:r>
      <w:r w:rsidRPr="00177C52">
        <w:rPr>
          <w:rFonts w:ascii="Bookman Old Style" w:hAnsi="Bookman Old Style" w:cs="Arial"/>
          <w:color w:val="262626" w:themeColor="text1" w:themeTint="D9"/>
        </w:rPr>
        <w:t xml:space="preserve">The moderators of the course will be Prof </w:t>
      </w:r>
      <w:r w:rsidR="00D938D4">
        <w:rPr>
          <w:rFonts w:ascii="Bookman Old Style" w:hAnsi="Bookman Old Style" w:cs="Arial"/>
          <w:color w:val="262626" w:themeColor="text1" w:themeTint="D9"/>
        </w:rPr>
        <w:t xml:space="preserve">George </w:t>
      </w:r>
      <w:r w:rsidRPr="00177C52">
        <w:rPr>
          <w:rFonts w:ascii="Bookman Old Style" w:hAnsi="Bookman Old Style" w:cs="Arial"/>
          <w:color w:val="262626" w:themeColor="text1" w:themeTint="D9"/>
        </w:rPr>
        <w:t>Hampel and Justice Ann Ainslie-Wallace.</w:t>
      </w:r>
      <w:r w:rsidR="001F196F" w:rsidRPr="001F196F">
        <w:rPr>
          <w:rFonts w:ascii="Bookman Old Style" w:hAnsi="Bookman Old Style"/>
          <w:color w:val="262626" w:themeColor="text1" w:themeTint="D9"/>
        </w:rPr>
        <w:t xml:space="preserve"> </w:t>
      </w:r>
      <w:r w:rsidR="001F196F">
        <w:rPr>
          <w:rFonts w:ascii="Bookman Old Style" w:hAnsi="Bookman Old Style"/>
          <w:color w:val="262626" w:themeColor="text1" w:themeTint="D9"/>
        </w:rPr>
        <w:t xml:space="preserve">The </w:t>
      </w:r>
      <w:r w:rsidR="001F196F" w:rsidRPr="00177C52">
        <w:rPr>
          <w:rFonts w:ascii="Bookman Old Style" w:hAnsi="Bookman Old Style"/>
          <w:color w:val="262626" w:themeColor="text1" w:themeTint="D9"/>
        </w:rPr>
        <w:t xml:space="preserve">course will be presented </w:t>
      </w:r>
      <w:r w:rsidR="001F196F">
        <w:rPr>
          <w:rFonts w:ascii="Bookman Old Style" w:hAnsi="Bookman Old Style"/>
          <w:color w:val="262626" w:themeColor="text1" w:themeTint="D9"/>
        </w:rPr>
        <w:t xml:space="preserve">principally </w:t>
      </w:r>
      <w:r w:rsidR="001F196F" w:rsidRPr="00177C52">
        <w:rPr>
          <w:rFonts w:ascii="Bookman Old Style" w:hAnsi="Bookman Old Style"/>
          <w:color w:val="262626" w:themeColor="text1" w:themeTint="D9"/>
        </w:rPr>
        <w:t xml:space="preserve">by </w:t>
      </w:r>
      <w:r w:rsidR="001F196F">
        <w:rPr>
          <w:rFonts w:ascii="Bookman Old Style" w:hAnsi="Bookman Old Style"/>
          <w:color w:val="262626" w:themeColor="text1" w:themeTint="D9"/>
        </w:rPr>
        <w:t xml:space="preserve">the moderators and other </w:t>
      </w:r>
      <w:r w:rsidR="001F196F" w:rsidRPr="00177C52">
        <w:rPr>
          <w:rFonts w:ascii="Bookman Old Style" w:hAnsi="Bookman Old Style"/>
          <w:color w:val="262626" w:themeColor="text1" w:themeTint="D9"/>
        </w:rPr>
        <w:t>AAI instructors with additional support from senior members of the NTBA.</w:t>
      </w:r>
    </w:p>
    <w:p w:rsidR="00772669" w:rsidRPr="00177C52" w:rsidRDefault="00284976" w:rsidP="008126BD">
      <w:pPr>
        <w:tabs>
          <w:tab w:val="left" w:pos="284"/>
          <w:tab w:val="left" w:pos="9781"/>
        </w:tabs>
        <w:ind w:left="284" w:right="1110"/>
        <w:jc w:val="both"/>
        <w:rPr>
          <w:rFonts w:ascii="Bookman Old Style" w:hAnsi="Bookman Old Style"/>
          <w:color w:val="262626" w:themeColor="text1" w:themeTint="D9"/>
        </w:rPr>
      </w:pPr>
      <w:r w:rsidRPr="00177C52">
        <w:rPr>
          <w:rFonts w:ascii="Bookman Old Style" w:hAnsi="Bookman Old Style" w:cs="Tahoma"/>
          <w:b/>
          <w:bCs/>
          <w:color w:val="262626" w:themeColor="text1" w:themeTint="D9"/>
        </w:rPr>
        <w:t>COMPONENTS</w:t>
      </w:r>
    </w:p>
    <w:p w:rsidR="00772669" w:rsidRPr="009E5E0E" w:rsidRDefault="00932264" w:rsidP="008126BD">
      <w:pPr>
        <w:tabs>
          <w:tab w:val="left" w:pos="284"/>
          <w:tab w:val="left" w:pos="10065"/>
        </w:tabs>
        <w:spacing w:before="100" w:beforeAutospacing="1" w:after="100" w:afterAutospacing="1"/>
        <w:ind w:left="284" w:right="401"/>
        <w:jc w:val="both"/>
        <w:rPr>
          <w:rFonts w:ascii="Bookman Old Style" w:hAnsi="Bookman Old Style"/>
          <w:color w:val="262626" w:themeColor="text1" w:themeTint="D9"/>
        </w:rPr>
      </w:pPr>
      <w:r w:rsidRPr="009E5E0E">
        <w:rPr>
          <w:rFonts w:ascii="Bookman Old Style" w:hAnsi="Bookman Old Style" w:cs="Arial"/>
          <w:bCs/>
          <w:color w:val="262626" w:themeColor="text1" w:themeTint="D9"/>
        </w:rPr>
        <w:t xml:space="preserve">The course </w:t>
      </w:r>
      <w:r w:rsidR="009E5E0E">
        <w:rPr>
          <w:rFonts w:ascii="Bookman Old Style" w:hAnsi="Bookman Old Style" w:cs="Arial"/>
          <w:bCs/>
          <w:color w:val="262626" w:themeColor="text1" w:themeTint="D9"/>
        </w:rPr>
        <w:t xml:space="preserve">will focus on the </w:t>
      </w:r>
      <w:r w:rsidR="009E5E0E" w:rsidRPr="009E5E0E">
        <w:rPr>
          <w:rFonts w:ascii="Bookman Old Style" w:eastAsia="Times New Roman" w:hAnsi="Bookman Old Style" w:cs="Arial"/>
          <w:color w:val="262626" w:themeColor="text1" w:themeTint="D9"/>
        </w:rPr>
        <w:t>fundamentals of persuasive advocacy including</w:t>
      </w:r>
      <w:r w:rsidR="009E5E0E" w:rsidRPr="009E5E0E">
        <w:rPr>
          <w:rFonts w:ascii="Bookman Old Style" w:hAnsi="Bookman Old Style" w:cs="Arial"/>
          <w:bCs/>
          <w:color w:val="262626" w:themeColor="text1" w:themeTint="D9"/>
        </w:rPr>
        <w:t xml:space="preserve"> </w:t>
      </w:r>
      <w:r w:rsidR="00772669" w:rsidRPr="009E5E0E">
        <w:rPr>
          <w:rFonts w:ascii="Bookman Old Style" w:hAnsi="Bookman Old Style" w:cs="Arial"/>
          <w:bCs/>
          <w:color w:val="262626" w:themeColor="text1" w:themeTint="D9"/>
        </w:rPr>
        <w:t>the following components: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22"/>
      </w:tblGrid>
      <w:tr w:rsidR="00D938D4" w:rsidTr="009E5E0E">
        <w:tc>
          <w:tcPr>
            <w:tcW w:w="5103" w:type="dxa"/>
          </w:tcPr>
          <w:p w:rsidR="00D938D4" w:rsidRPr="00177C52" w:rsidRDefault="009E5E0E" w:rsidP="008126BD">
            <w:pPr>
              <w:numPr>
                <w:ilvl w:val="1"/>
                <w:numId w:val="4"/>
              </w:numPr>
              <w:tabs>
                <w:tab w:val="left" w:pos="284"/>
              </w:tabs>
              <w:ind w:right="33"/>
              <w:rPr>
                <w:rFonts w:ascii="Bookman Old Style" w:eastAsia="Times New Roman" w:hAnsi="Bookman Old Style"/>
                <w:color w:val="262626" w:themeColor="text1" w:themeTint="D9"/>
              </w:rPr>
            </w:pPr>
            <w:r>
              <w:rPr>
                <w:rFonts w:ascii="Bookman Old Style" w:eastAsia="Times New Roman" w:hAnsi="Bookman Old Style" w:cs="Arial"/>
                <w:color w:val="262626" w:themeColor="text1" w:themeTint="D9"/>
              </w:rPr>
              <w:t xml:space="preserve">method </w:t>
            </w:r>
            <w:r w:rsidR="00D938D4"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of systematic preparation</w:t>
            </w:r>
          </w:p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</w:tabs>
              <w:spacing w:before="100" w:beforeAutospacing="1" w:after="100" w:afterAutospacing="1"/>
              <w:ind w:right="33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case analysis</w:t>
            </w:r>
          </w:p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</w:tabs>
              <w:spacing w:before="100" w:beforeAutospacing="1" w:after="100" w:afterAutospacing="1"/>
              <w:ind w:right="33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performance preparation</w:t>
            </w:r>
          </w:p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</w:tabs>
              <w:spacing w:before="100" w:beforeAutospacing="1" w:after="100" w:afterAutospacing="1"/>
              <w:ind w:right="33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communication skills</w:t>
            </w:r>
          </w:p>
          <w:p w:rsidR="00D938D4" w:rsidRPr="009E5E0E" w:rsidRDefault="00D938D4" w:rsidP="008126BD">
            <w:pPr>
              <w:numPr>
                <w:ilvl w:val="1"/>
                <w:numId w:val="4"/>
              </w:numPr>
              <w:tabs>
                <w:tab w:val="left" w:pos="284"/>
              </w:tabs>
              <w:spacing w:before="100" w:beforeAutospacing="1" w:after="100" w:afterAutospacing="1"/>
              <w:ind w:right="33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9E5E0E">
              <w:rPr>
                <w:rFonts w:ascii="Bookman Old Style" w:eastAsia="Times New Roman" w:hAnsi="Bookman Old Style" w:cs="Arial"/>
                <w:color w:val="262626" w:themeColor="text1" w:themeTint="D9"/>
              </w:rPr>
              <w:t>specific advocacy skills in</w:t>
            </w:r>
            <w:r w:rsidR="009E5E0E" w:rsidRPr="009E5E0E">
              <w:rPr>
                <w:rFonts w:ascii="Bookman Old Style" w:eastAsia="Times New Roman" w:hAnsi="Bookman Old Style" w:cs="Arial"/>
                <w:color w:val="262626" w:themeColor="text1" w:themeTint="D9"/>
              </w:rPr>
              <w:t xml:space="preserve"> </w:t>
            </w:r>
            <w:r w:rsidRPr="009E5E0E">
              <w:rPr>
                <w:rFonts w:ascii="Bookman Old Style" w:eastAsia="Times New Roman" w:hAnsi="Bookman Old Style" w:cs="Arial"/>
                <w:color w:val="262626" w:themeColor="text1" w:themeTint="D9"/>
              </w:rPr>
              <w:t>opening addresses</w:t>
            </w:r>
            <w:r w:rsidR="009E5E0E" w:rsidRPr="009E5E0E">
              <w:rPr>
                <w:rFonts w:ascii="Bookman Old Style" w:eastAsia="Times New Roman" w:hAnsi="Bookman Old Style" w:cs="Arial"/>
                <w:color w:val="262626" w:themeColor="text1" w:themeTint="D9"/>
              </w:rPr>
              <w:t xml:space="preserve">, </w:t>
            </w:r>
            <w:r w:rsidRPr="009E5E0E">
              <w:rPr>
                <w:rFonts w:ascii="Bookman Old Style" w:eastAsia="Times New Roman" w:hAnsi="Bookman Old Style" w:cs="Arial"/>
                <w:color w:val="262626" w:themeColor="text1" w:themeTint="D9"/>
              </w:rPr>
              <w:t>examination in chief</w:t>
            </w:r>
            <w:r w:rsidR="009E5E0E">
              <w:rPr>
                <w:rFonts w:ascii="Bookman Old Style" w:eastAsia="Times New Roman" w:hAnsi="Bookman Old Style" w:cs="Arial"/>
                <w:color w:val="262626" w:themeColor="text1" w:themeTint="D9"/>
              </w:rPr>
              <w:t xml:space="preserve">, </w:t>
            </w:r>
            <w:r w:rsidRPr="009E5E0E">
              <w:rPr>
                <w:rFonts w:ascii="Bookman Old Style" w:eastAsia="Times New Roman" w:hAnsi="Bookman Old Style" w:cs="Arial"/>
                <w:color w:val="262626" w:themeColor="text1" w:themeTint="D9"/>
              </w:rPr>
              <w:t>cross examination</w:t>
            </w:r>
            <w:r w:rsidR="009E5E0E">
              <w:rPr>
                <w:rFonts w:ascii="Bookman Old Style" w:eastAsia="Times New Roman" w:hAnsi="Bookman Old Style" w:cs="Arial"/>
                <w:color w:val="262626" w:themeColor="text1" w:themeTint="D9"/>
              </w:rPr>
              <w:t xml:space="preserve"> and re-examination</w:t>
            </w:r>
          </w:p>
        </w:tc>
        <w:tc>
          <w:tcPr>
            <w:tcW w:w="5222" w:type="dxa"/>
          </w:tcPr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  <w:tab w:val="left" w:pos="4854"/>
              </w:tabs>
              <w:spacing w:before="100" w:beforeAutospacing="1" w:after="100" w:afterAutospacing="1"/>
              <w:ind w:right="152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taking  and arguing objections</w:t>
            </w:r>
          </w:p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  <w:tab w:val="left" w:pos="4854"/>
              </w:tabs>
              <w:spacing w:before="100" w:beforeAutospacing="1" w:after="100" w:afterAutospacing="1"/>
              <w:ind w:right="152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argument</w:t>
            </w:r>
          </w:p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  <w:tab w:val="left" w:pos="4854"/>
              </w:tabs>
              <w:spacing w:before="100" w:beforeAutospacing="1" w:after="100" w:afterAutospacing="1"/>
              <w:ind w:right="152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pleas in mitigation</w:t>
            </w:r>
          </w:p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  <w:tab w:val="left" w:pos="4854"/>
              </w:tabs>
              <w:spacing w:before="100" w:beforeAutospacing="1" w:after="100" w:afterAutospacing="1"/>
              <w:ind w:right="152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expert evidence</w:t>
            </w:r>
          </w:p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  <w:tab w:val="left" w:pos="4854"/>
              </w:tabs>
              <w:spacing w:before="100" w:beforeAutospacing="1" w:after="100" w:afterAutospacing="1"/>
              <w:ind w:right="152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applications</w:t>
            </w:r>
          </w:p>
          <w:p w:rsidR="00D938D4" w:rsidRPr="00177C52" w:rsidRDefault="00D938D4" w:rsidP="008126BD">
            <w:pPr>
              <w:numPr>
                <w:ilvl w:val="1"/>
                <w:numId w:val="4"/>
              </w:numPr>
              <w:tabs>
                <w:tab w:val="left" w:pos="284"/>
                <w:tab w:val="left" w:pos="4854"/>
              </w:tabs>
              <w:spacing w:before="100" w:beforeAutospacing="1" w:after="100" w:afterAutospacing="1"/>
              <w:ind w:right="152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pleadings</w:t>
            </w:r>
          </w:p>
          <w:p w:rsidR="009E5E0E" w:rsidRDefault="00D938D4" w:rsidP="008126BD">
            <w:pPr>
              <w:numPr>
                <w:ilvl w:val="1"/>
                <w:numId w:val="4"/>
              </w:numPr>
              <w:tabs>
                <w:tab w:val="left" w:pos="284"/>
                <w:tab w:val="left" w:pos="4854"/>
              </w:tabs>
              <w:spacing w:before="100" w:beforeAutospacing="1" w:after="100" w:afterAutospacing="1"/>
              <w:ind w:right="152"/>
              <w:rPr>
                <w:rFonts w:ascii="Bookman Old Style" w:eastAsia="Times New Roman" w:hAnsi="Bookman Old Style"/>
                <w:color w:val="262626" w:themeColor="text1" w:themeTint="D9"/>
              </w:rPr>
            </w:pPr>
            <w:r w:rsidRPr="00177C52">
              <w:rPr>
                <w:rFonts w:ascii="Bookman Old Style" w:eastAsia="Times New Roman" w:hAnsi="Bookman Old Style" w:cs="Arial"/>
                <w:color w:val="262626" w:themeColor="text1" w:themeTint="D9"/>
              </w:rPr>
              <w:t>written summaries of argument</w:t>
            </w:r>
          </w:p>
          <w:p w:rsidR="00D938D4" w:rsidRPr="009E5E0E" w:rsidRDefault="009E5E0E" w:rsidP="008126BD">
            <w:pPr>
              <w:numPr>
                <w:ilvl w:val="1"/>
                <w:numId w:val="4"/>
              </w:numPr>
              <w:tabs>
                <w:tab w:val="left" w:pos="284"/>
                <w:tab w:val="left" w:pos="4854"/>
              </w:tabs>
              <w:spacing w:before="100" w:beforeAutospacing="1" w:after="100" w:afterAutospacing="1"/>
              <w:ind w:right="152"/>
              <w:rPr>
                <w:rFonts w:ascii="Bookman Old Style" w:eastAsia="Times New Roman" w:hAnsi="Bookman Old Style"/>
                <w:color w:val="262626" w:themeColor="text1" w:themeTint="D9"/>
              </w:rPr>
            </w:pPr>
            <w:r>
              <w:rPr>
                <w:rFonts w:ascii="Bookman Old Style" w:eastAsia="Times New Roman" w:hAnsi="Bookman Old Style" w:cs="Arial"/>
                <w:color w:val="262626" w:themeColor="text1" w:themeTint="D9"/>
              </w:rPr>
              <w:t>ethics in advocacy</w:t>
            </w:r>
          </w:p>
        </w:tc>
      </w:tr>
    </w:tbl>
    <w:p w:rsidR="00177C52" w:rsidRPr="00177C52" w:rsidRDefault="009E5E0E" w:rsidP="008126BD">
      <w:pPr>
        <w:tabs>
          <w:tab w:val="left" w:pos="284"/>
        </w:tabs>
        <w:spacing w:before="100" w:beforeAutospacing="1" w:after="100" w:afterAutospacing="1"/>
        <w:ind w:left="284" w:right="401"/>
        <w:jc w:val="both"/>
        <w:rPr>
          <w:rFonts w:ascii="Bookman Old Style" w:eastAsia="Times New Roman" w:hAnsi="Bookman Old Style"/>
          <w:color w:val="262626" w:themeColor="text1" w:themeTint="D9"/>
        </w:rPr>
      </w:pPr>
      <w:r>
        <w:rPr>
          <w:rFonts w:ascii="Bookman Old Style" w:eastAsia="Times New Roman" w:hAnsi="Bookman Old Style"/>
          <w:color w:val="262626" w:themeColor="text1" w:themeTint="D9"/>
        </w:rPr>
        <w:t>S</w:t>
      </w:r>
      <w:r w:rsidRPr="009E5E0E">
        <w:rPr>
          <w:rFonts w:ascii="Bookman Old Style" w:eastAsia="Times New Roman" w:hAnsi="Bookman Old Style"/>
          <w:color w:val="262626" w:themeColor="text1" w:themeTint="D9"/>
        </w:rPr>
        <w:t>elected performances will be filmed and feedback given</w:t>
      </w:r>
      <w:r>
        <w:rPr>
          <w:rFonts w:ascii="Bookman Old Style" w:eastAsia="Times New Roman" w:hAnsi="Bookman Old Style"/>
          <w:color w:val="262626" w:themeColor="text1" w:themeTint="D9"/>
        </w:rPr>
        <w:t xml:space="preserve">. </w:t>
      </w:r>
      <w:r w:rsidR="00177C52">
        <w:rPr>
          <w:rFonts w:ascii="Bookman Old Style" w:eastAsia="Times New Roman" w:hAnsi="Bookman Old Style"/>
          <w:color w:val="262626" w:themeColor="text1" w:themeTint="D9"/>
        </w:rPr>
        <w:t>The cost of the course is $3,000 including GST.</w:t>
      </w:r>
      <w:r>
        <w:rPr>
          <w:rFonts w:ascii="Bookman Old Style" w:eastAsia="Times New Roman" w:hAnsi="Bookman Old Style"/>
          <w:color w:val="262626" w:themeColor="text1" w:themeTint="D9"/>
        </w:rPr>
        <w:t xml:space="preserve"> </w:t>
      </w:r>
      <w:r w:rsidR="00177C52">
        <w:rPr>
          <w:rFonts w:ascii="Bookman Old Style" w:eastAsia="Times New Roman" w:hAnsi="Bookman Old Style"/>
          <w:color w:val="262626" w:themeColor="text1" w:themeTint="D9"/>
        </w:rPr>
        <w:t xml:space="preserve">A limited number of positions are available so register soon at: </w:t>
      </w:r>
      <w:hyperlink r:id="rId12" w:history="1">
        <w:r w:rsidR="00177C52" w:rsidRPr="00B705E9">
          <w:rPr>
            <w:rStyle w:val="Hyperlink"/>
            <w:rFonts w:ascii="Bookman Old Style" w:eastAsia="Times New Roman" w:hAnsi="Bookman Old Style"/>
          </w:rPr>
          <w:t>www.advocacy.com.au</w:t>
        </w:r>
      </w:hyperlink>
      <w:r w:rsidR="00177C52">
        <w:rPr>
          <w:rFonts w:ascii="Bookman Old Style" w:eastAsia="Times New Roman" w:hAnsi="Bookman Old Style"/>
          <w:color w:val="262626" w:themeColor="text1" w:themeTint="D9"/>
        </w:rPr>
        <w:t>.</w:t>
      </w:r>
      <w:bookmarkEnd w:id="1"/>
    </w:p>
    <w:sectPr w:rsidR="00177C52" w:rsidRPr="00177C52" w:rsidSect="004E3C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ED" w:rsidRDefault="008957ED" w:rsidP="00C970D3">
      <w:r>
        <w:separator/>
      </w:r>
    </w:p>
  </w:endnote>
  <w:endnote w:type="continuationSeparator" w:id="0">
    <w:p w:rsidR="008957ED" w:rsidRDefault="008957ED" w:rsidP="00C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BD" w:rsidRDefault="00812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BD" w:rsidRDefault="00812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BD" w:rsidRDefault="00812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ED" w:rsidRDefault="008957ED" w:rsidP="00C970D3">
      <w:r>
        <w:separator/>
      </w:r>
    </w:p>
  </w:footnote>
  <w:footnote w:type="continuationSeparator" w:id="0">
    <w:p w:rsidR="008957ED" w:rsidRDefault="008957ED" w:rsidP="00C9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D3" w:rsidRDefault="008957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5548" o:spid="_x0000_s2050" type="#_x0000_t75" style="position:absolute;margin-left:0;margin-top:0;width:703.1pt;height:937.5pt;z-index:-251657216;mso-position-horizontal:center;mso-position-horizontal-relative:margin;mso-position-vertical:center;mso-position-vertical-relative:margin" o:allowincell="f">
          <v:imagedata r:id="rId1" o:title="rhcp_csi42_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D3" w:rsidRDefault="008957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5549" o:spid="_x0000_s2051" type="#_x0000_t75" style="position:absolute;margin-left:0;margin-top:0;width:703.1pt;height:937.5pt;z-index:-251656192;mso-position-horizontal:center;mso-position-horizontal-relative:margin;mso-position-vertical:center;mso-position-vertical-relative:margin" o:allowincell="f">
          <v:imagedata r:id="rId1" o:title="rhcp_csi42_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D3" w:rsidRDefault="008957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5547" o:spid="_x0000_s2049" type="#_x0000_t75" style="position:absolute;margin-left:0;margin-top:0;width:703.1pt;height:937.5pt;z-index:-251658240;mso-position-horizontal:center;mso-position-horizontal-relative:margin;mso-position-vertical:center;mso-position-vertical-relative:margin" o:allowincell="f">
          <v:imagedata r:id="rId1" o:title="rhcp_csi42_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E55"/>
    <w:multiLevelType w:val="hybridMultilevel"/>
    <w:tmpl w:val="56EAC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575"/>
    <w:multiLevelType w:val="multilevel"/>
    <w:tmpl w:val="FBB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69F2"/>
    <w:multiLevelType w:val="multilevel"/>
    <w:tmpl w:val="747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7484B"/>
    <w:multiLevelType w:val="multilevel"/>
    <w:tmpl w:val="775C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2009C"/>
    <w:multiLevelType w:val="multilevel"/>
    <w:tmpl w:val="318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B55CE"/>
    <w:multiLevelType w:val="multilevel"/>
    <w:tmpl w:val="EB0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B0350"/>
    <w:multiLevelType w:val="hybridMultilevel"/>
    <w:tmpl w:val="14984D8E"/>
    <w:lvl w:ilvl="0" w:tplc="96E67DBC">
      <w:start w:val="2014"/>
      <w:numFmt w:val="bullet"/>
      <w:lvlText w:val="•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9"/>
    <w:rsid w:val="000F0CB0"/>
    <w:rsid w:val="00115AD3"/>
    <w:rsid w:val="00177C52"/>
    <w:rsid w:val="00196C41"/>
    <w:rsid w:val="001B401A"/>
    <w:rsid w:val="001D732D"/>
    <w:rsid w:val="001E2166"/>
    <w:rsid w:val="001F196F"/>
    <w:rsid w:val="00227577"/>
    <w:rsid w:val="002340A7"/>
    <w:rsid w:val="00250F87"/>
    <w:rsid w:val="00252F96"/>
    <w:rsid w:val="00284976"/>
    <w:rsid w:val="002A1CAE"/>
    <w:rsid w:val="002D08CA"/>
    <w:rsid w:val="00365458"/>
    <w:rsid w:val="00417CA8"/>
    <w:rsid w:val="00423007"/>
    <w:rsid w:val="004558C9"/>
    <w:rsid w:val="004615D8"/>
    <w:rsid w:val="004E3C8C"/>
    <w:rsid w:val="00510D96"/>
    <w:rsid w:val="005D0D4B"/>
    <w:rsid w:val="005F5D20"/>
    <w:rsid w:val="00600C33"/>
    <w:rsid w:val="006146A4"/>
    <w:rsid w:val="006E11EA"/>
    <w:rsid w:val="007210CD"/>
    <w:rsid w:val="00735042"/>
    <w:rsid w:val="00766E71"/>
    <w:rsid w:val="00772669"/>
    <w:rsid w:val="00772FF6"/>
    <w:rsid w:val="007A5C9A"/>
    <w:rsid w:val="007C58E4"/>
    <w:rsid w:val="008126BD"/>
    <w:rsid w:val="0082480F"/>
    <w:rsid w:val="008579A3"/>
    <w:rsid w:val="008957ED"/>
    <w:rsid w:val="008A1255"/>
    <w:rsid w:val="008D012D"/>
    <w:rsid w:val="008D1E20"/>
    <w:rsid w:val="008E3019"/>
    <w:rsid w:val="00915ECC"/>
    <w:rsid w:val="00932264"/>
    <w:rsid w:val="00953DEA"/>
    <w:rsid w:val="0096445C"/>
    <w:rsid w:val="00976652"/>
    <w:rsid w:val="009B7138"/>
    <w:rsid w:val="009E2F53"/>
    <w:rsid w:val="009E5E0E"/>
    <w:rsid w:val="00A020AF"/>
    <w:rsid w:val="00A6568A"/>
    <w:rsid w:val="00AF3C5D"/>
    <w:rsid w:val="00B5275A"/>
    <w:rsid w:val="00B973B7"/>
    <w:rsid w:val="00BF1EA4"/>
    <w:rsid w:val="00C07CE8"/>
    <w:rsid w:val="00C47196"/>
    <w:rsid w:val="00C61961"/>
    <w:rsid w:val="00C930E7"/>
    <w:rsid w:val="00C970D3"/>
    <w:rsid w:val="00CF5B14"/>
    <w:rsid w:val="00D32705"/>
    <w:rsid w:val="00D938D4"/>
    <w:rsid w:val="00DE1954"/>
    <w:rsid w:val="00E71D7B"/>
    <w:rsid w:val="00E83026"/>
    <w:rsid w:val="00EB5054"/>
    <w:rsid w:val="00EB65C1"/>
    <w:rsid w:val="00EB73A9"/>
    <w:rsid w:val="00F350EC"/>
    <w:rsid w:val="00F40774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69"/>
    <w:pPr>
      <w:spacing w:after="0" w:line="240" w:lineRule="auto"/>
    </w:pPr>
    <w:rPr>
      <w:rFonts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D3"/>
    <w:rPr>
      <w:rFonts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97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D3"/>
    <w:rPr>
      <w:rFonts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D3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84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38D4"/>
    <w:pPr>
      <w:spacing w:after="0" w:line="240" w:lineRule="auto"/>
    </w:pPr>
    <w:rPr>
      <w:rFonts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69"/>
    <w:pPr>
      <w:spacing w:after="0" w:line="240" w:lineRule="auto"/>
    </w:pPr>
    <w:rPr>
      <w:rFonts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D3"/>
    <w:rPr>
      <w:rFonts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97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D3"/>
    <w:rPr>
      <w:rFonts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D3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84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38D4"/>
    <w:pPr>
      <w:spacing w:after="0" w:line="240" w:lineRule="auto"/>
    </w:pPr>
    <w:rPr>
      <w:rFonts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vocacy.com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D5E8-E669-4C2A-907A-15D3716B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Owner</cp:lastModifiedBy>
  <cp:revision>2</cp:revision>
  <cp:lastPrinted>2014-03-07T08:00:00Z</cp:lastPrinted>
  <dcterms:created xsi:type="dcterms:W3CDTF">2014-03-26T01:56:00Z</dcterms:created>
  <dcterms:modified xsi:type="dcterms:W3CDTF">2014-03-26T01:56:00Z</dcterms:modified>
</cp:coreProperties>
</file>